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D61" w:rsidRDefault="00731D61" w:rsidP="00731D61">
      <w:pPr>
        <w:pStyle w:val="NormalWeb"/>
        <w:numPr>
          <w:ilvl w:val="0"/>
          <w:numId w:val="1"/>
        </w:numPr>
        <w:shd w:val="clear" w:color="auto" w:fill="FFFFFF"/>
        <w:spacing w:before="0" w:beforeAutospacing="0" w:after="0" w:afterAutospacing="0"/>
        <w:rPr>
          <w:rFonts w:ascii="Arial" w:hAnsi="Arial" w:cs="Arial"/>
          <w:color w:val="111111"/>
        </w:rPr>
      </w:pPr>
      <w:r>
        <w:rPr>
          <w:rFonts w:ascii="Arial" w:hAnsi="Arial" w:cs="Arial"/>
          <w:color w:val="111111"/>
        </w:rPr>
        <w:t xml:space="preserve">Broadening the scope of the ADA through definitions of </w:t>
      </w:r>
      <w:proofErr w:type="spellStart"/>
      <w:r>
        <w:rPr>
          <w:rFonts w:ascii="Arial" w:hAnsi="Arial" w:cs="Arial"/>
          <w:color w:val="111111"/>
        </w:rPr>
        <w:t>diability</w:t>
      </w:r>
      <w:proofErr w:type="spellEnd"/>
    </w:p>
    <w:p w:rsidR="00731D61" w:rsidRDefault="00731D61" w:rsidP="00731D61">
      <w:pPr>
        <w:pStyle w:val="NormalWeb"/>
        <w:shd w:val="clear" w:color="auto" w:fill="FFFFFF"/>
        <w:spacing w:before="0" w:beforeAutospacing="0" w:after="0" w:afterAutospacing="0"/>
        <w:rPr>
          <w:rFonts w:ascii="Arial" w:hAnsi="Arial" w:cs="Arial"/>
          <w:color w:val="111111"/>
        </w:rPr>
      </w:pPr>
    </w:p>
    <w:p w:rsidR="00731D61" w:rsidRDefault="00731D61" w:rsidP="00731D61">
      <w:pPr>
        <w:pStyle w:val="NormalWeb"/>
        <w:shd w:val="clear" w:color="auto" w:fill="FFFFFF"/>
        <w:spacing w:before="0" w:beforeAutospacing="0" w:after="0" w:afterAutospacing="0"/>
        <w:rPr>
          <w:rFonts w:ascii="Arial" w:hAnsi="Arial" w:cs="Arial"/>
          <w:color w:val="111111"/>
        </w:rPr>
      </w:pPr>
      <w:r>
        <w:rPr>
          <w:rFonts w:ascii="Arial" w:hAnsi="Arial" w:cs="Arial"/>
          <w:color w:val="111111"/>
        </w:rPr>
        <w:t>There were a few major supreme court cases which resulted in severely limiting the scope of the ADA passed in 1990. Justice Kennedy explains that in the cases of Olmstead and Garrett, there was a clear distinction between failure to accommodate and discrimination. This later reflects an interesting separation in which accommodation and discrimination would be clarified within the ADAA: "Justice Kennedy makes clear his view that the ADA is doing something different, in his concurring opinions in two crucial cases, Olmstead and Garrett, handed down one year apart. The epigraph above from Olmstead - 'the normal definition of discrimination [is] differential treatment of similarly situated groups' - nicely captures his basic view of discrimination. Thus understood, it does not include the failure to accommodate, something he makes clear in these decisions, as he contrasts that with some of the newfangled concepts in this arena." (</w:t>
      </w:r>
      <w:proofErr w:type="spellStart"/>
      <w:r>
        <w:rPr>
          <w:rFonts w:ascii="Arial" w:hAnsi="Arial" w:cs="Arial"/>
          <w:color w:val="111111"/>
        </w:rPr>
        <w:t>Emens</w:t>
      </w:r>
      <w:proofErr w:type="spellEnd"/>
      <w:r>
        <w:rPr>
          <w:rFonts w:ascii="Arial" w:hAnsi="Arial" w:cs="Arial"/>
          <w:color w:val="111111"/>
        </w:rPr>
        <w:t>, 2012, p. 6) In the case of </w:t>
      </w:r>
      <w:r>
        <w:rPr>
          <w:rStyle w:val="Emphasis"/>
          <w:rFonts w:ascii="inherit" w:hAnsi="inherit" w:cs="Arial"/>
          <w:color w:val="111111"/>
          <w:sz w:val="20"/>
          <w:szCs w:val="20"/>
          <w:bdr w:val="none" w:sz="0" w:space="0" w:color="auto" w:frame="1"/>
        </w:rPr>
        <w:t>Toyota Motor Manufacturing, Kentucky, Inc. v. Williams</w:t>
      </w:r>
      <w:r>
        <w:rPr>
          <w:rFonts w:ascii="Arial" w:hAnsi="Arial" w:cs="Arial"/>
          <w:color w:val="111111"/>
        </w:rPr>
        <w:t>, the definition of "major life activity" created challenges. Specifically, the case ruled that even if your impairment significantly impacted one's function on the job, if it did not translate into disability which radically impacted someone outside that environment, it was not protected under the ADA. </w:t>
      </w:r>
      <w:r>
        <w:rPr>
          <w:rStyle w:val="Emphasis"/>
          <w:rFonts w:ascii="inherit" w:hAnsi="inherit" w:cs="Arial"/>
          <w:color w:val="111111"/>
          <w:sz w:val="20"/>
          <w:szCs w:val="20"/>
          <w:bdr w:val="none" w:sz="0" w:space="0" w:color="auto" w:frame="1"/>
        </w:rPr>
        <w:t>Sutton v. United Air Lines, Inc.</w:t>
      </w:r>
      <w:r>
        <w:rPr>
          <w:rFonts w:ascii="Arial" w:hAnsi="Arial" w:cs="Arial"/>
          <w:color w:val="111111"/>
        </w:rPr>
        <w:t> also had an interesting ruling on the definition of disability, specifically that disability had to be considered including any bodily modifications (such as glasses). In this case, two individuals with visual impairments were not seen as protected under the ADA because they were not significantly impaired in their life (due to wearing glasses). The ADAAA responds to these cases by clarifying who is protected, and broadening the scope to include impairments which are less impacting in daily life.</w:t>
      </w:r>
    </w:p>
    <w:p w:rsidR="00731D61" w:rsidRDefault="00731D61" w:rsidP="00731D61">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Additionally, the ADAAA worked to clarify the distinction between "actual disability" and "perceived disability": "First, the ADAAA intervenes in the developing doctrine on disability discrimination in important ways; in so doing, however, the ADAAA carves up the definition of disability, for the first time distinguishing 'actual disability' from 'regarded as disability,' and expressly reserving the right to accommodation for 'actual disability.' This move repudiates a strong form of the social model of disability and accedes to a hierarchy of discrimination that treats the failure to accommodate as a different and lesser form of bias than direct discrimination" (</w:t>
      </w:r>
      <w:proofErr w:type="spellStart"/>
      <w:r>
        <w:rPr>
          <w:rFonts w:ascii="Arial" w:hAnsi="Arial" w:cs="Arial"/>
          <w:color w:val="111111"/>
        </w:rPr>
        <w:t>Emens</w:t>
      </w:r>
      <w:proofErr w:type="spellEnd"/>
      <w:r>
        <w:rPr>
          <w:rFonts w:ascii="Arial" w:hAnsi="Arial" w:cs="Arial"/>
          <w:color w:val="111111"/>
        </w:rPr>
        <w:t>, 2012, p. 1)</w:t>
      </w:r>
    </w:p>
    <w:p w:rsidR="00810D4B" w:rsidRDefault="00810D4B"/>
    <w:p w:rsidR="00731D61" w:rsidRDefault="00731D61">
      <w:r>
        <w:t xml:space="preserve">Comment:  </w:t>
      </w:r>
    </w:p>
    <w:p w:rsidR="00731D61" w:rsidRPr="00A04350" w:rsidRDefault="00A04350">
      <w:pPr>
        <w:rPr>
          <w:rFonts w:ascii="Times New Roman" w:hAnsi="Times New Roman" w:cs="Times New Roman"/>
          <w:iCs/>
          <w:color w:val="111111"/>
          <w:sz w:val="24"/>
          <w:szCs w:val="24"/>
          <w:bdr w:val="none" w:sz="0" w:space="0" w:color="auto" w:frame="1"/>
        </w:rPr>
      </w:pPr>
      <w:r w:rsidRPr="00F161D8">
        <w:rPr>
          <w:rFonts w:ascii="Times New Roman" w:hAnsi="Times New Roman" w:cs="Times New Roman"/>
          <w:sz w:val="24"/>
          <w:szCs w:val="24"/>
        </w:rPr>
        <w:t>Several judgments on various cases have indeed had different perspectives on the broadening scope of ADA through defining di</w:t>
      </w:r>
      <w:r>
        <w:rPr>
          <w:rFonts w:ascii="Times New Roman" w:hAnsi="Times New Roman" w:cs="Times New Roman"/>
          <w:sz w:val="24"/>
          <w:szCs w:val="24"/>
        </w:rPr>
        <w:t>s</w:t>
      </w:r>
      <w:r w:rsidRPr="00F161D8">
        <w:rPr>
          <w:rFonts w:ascii="Times New Roman" w:hAnsi="Times New Roman" w:cs="Times New Roman"/>
          <w:sz w:val="24"/>
          <w:szCs w:val="24"/>
        </w:rPr>
        <w:t>ability. For instance, from the judgment</w:t>
      </w:r>
      <w:r>
        <w:rPr>
          <w:rFonts w:ascii="Times New Roman" w:hAnsi="Times New Roman" w:cs="Times New Roman"/>
          <w:sz w:val="24"/>
          <w:szCs w:val="24"/>
        </w:rPr>
        <w:t xml:space="preserve"> offered by Justice Ken</w:t>
      </w:r>
      <w:r w:rsidRPr="00F161D8">
        <w:rPr>
          <w:rFonts w:ascii="Times New Roman" w:hAnsi="Times New Roman" w:cs="Times New Roman"/>
          <w:sz w:val="24"/>
          <w:szCs w:val="24"/>
        </w:rPr>
        <w:t xml:space="preserve">nedy in two cases, namely, Garret and Olmstead agree with the view that was offered in the cases regarding discrimination. Although </w:t>
      </w:r>
      <w:r>
        <w:rPr>
          <w:rFonts w:ascii="Times New Roman" w:hAnsi="Times New Roman" w:cs="Times New Roman"/>
          <w:sz w:val="24"/>
          <w:szCs w:val="24"/>
        </w:rPr>
        <w:t xml:space="preserve">there are a </w:t>
      </w:r>
      <w:r w:rsidRPr="00F161D8">
        <w:rPr>
          <w:rFonts w:ascii="Times New Roman" w:hAnsi="Times New Roman" w:cs="Times New Roman"/>
          <w:sz w:val="24"/>
          <w:szCs w:val="24"/>
        </w:rPr>
        <w:t xml:space="preserve">few aspects that he contrasts on, it is clear that he concurs that discrimination does not include failure to accommodate. On </w:t>
      </w:r>
      <w:r>
        <w:rPr>
          <w:rFonts w:ascii="Times New Roman" w:hAnsi="Times New Roman" w:cs="Times New Roman"/>
          <w:sz w:val="24"/>
          <w:szCs w:val="24"/>
        </w:rPr>
        <w:t>the o</w:t>
      </w:r>
      <w:r w:rsidRPr="00F161D8">
        <w:rPr>
          <w:rFonts w:ascii="Times New Roman" w:hAnsi="Times New Roman" w:cs="Times New Roman"/>
          <w:sz w:val="24"/>
          <w:szCs w:val="24"/>
        </w:rPr>
        <w:t xml:space="preserve">ther hand, in some aspects, I disagree with the rulings offered in </w:t>
      </w:r>
      <w:r w:rsidRPr="00F161D8">
        <w:rPr>
          <w:rStyle w:val="Emphasis"/>
          <w:rFonts w:ascii="Times New Roman" w:hAnsi="Times New Roman" w:cs="Times New Roman"/>
          <w:color w:val="111111"/>
          <w:sz w:val="24"/>
          <w:szCs w:val="24"/>
          <w:bdr w:val="none" w:sz="0" w:space="0" w:color="auto" w:frame="1"/>
        </w:rPr>
        <w:t xml:space="preserve">Toyota Motor Manufacturing, Kentucky, Inc. v. Williams and Sutton v. United Air Lines, </w:t>
      </w:r>
      <w:proofErr w:type="spellStart"/>
      <w:r w:rsidRPr="00F161D8">
        <w:rPr>
          <w:rStyle w:val="Emphasis"/>
          <w:rFonts w:ascii="Times New Roman" w:hAnsi="Times New Roman" w:cs="Times New Roman"/>
          <w:color w:val="111111"/>
          <w:sz w:val="24"/>
          <w:szCs w:val="24"/>
          <w:bdr w:val="none" w:sz="0" w:space="0" w:color="auto" w:frame="1"/>
        </w:rPr>
        <w:t>Inc</w:t>
      </w:r>
      <w:proofErr w:type="spellEnd"/>
      <w:r w:rsidRPr="00F161D8">
        <w:rPr>
          <w:rStyle w:val="Emphasis"/>
          <w:rFonts w:ascii="Times New Roman" w:hAnsi="Times New Roman" w:cs="Times New Roman"/>
          <w:color w:val="111111"/>
          <w:sz w:val="24"/>
          <w:szCs w:val="24"/>
          <w:bdr w:val="none" w:sz="0" w:space="0" w:color="auto" w:frame="1"/>
        </w:rPr>
        <w:t xml:space="preserve"> cases </w:t>
      </w:r>
      <w:r w:rsidRPr="00A04350">
        <w:rPr>
          <w:rStyle w:val="Emphasis"/>
          <w:rFonts w:ascii="Times New Roman" w:hAnsi="Times New Roman" w:cs="Times New Roman"/>
          <w:i w:val="0"/>
          <w:color w:val="111111"/>
          <w:sz w:val="24"/>
          <w:szCs w:val="24"/>
          <w:bdr w:val="none" w:sz="0" w:space="0" w:color="auto" w:frame="1"/>
        </w:rPr>
        <w:t xml:space="preserve">about the definition of disability. To some extent, the ruling offered on the definition of disability is not inclusive. Nevertheless, ADAA comes into rescue and offers clear definition of discrimination by giving a comprehensive distinction on what is taken as ‘perceived disability' and actual disability'. </w:t>
      </w:r>
      <w:r w:rsidRPr="00A04350">
        <w:rPr>
          <w:rStyle w:val="Emphasis"/>
          <w:rFonts w:ascii="Times New Roman" w:hAnsi="Times New Roman" w:cs="Times New Roman"/>
          <w:i w:val="0"/>
          <w:color w:val="111111"/>
          <w:sz w:val="24"/>
          <w:szCs w:val="24"/>
          <w:bdr w:val="none" w:sz="0" w:space="0" w:color="auto" w:frame="1"/>
        </w:rPr>
        <w:lastRenderedPageBreak/>
        <w:t xml:space="preserve">Without the distinction, there could continue to have some kind of bias between the two and how different judgments interpret it. </w:t>
      </w:r>
    </w:p>
    <w:p w:rsidR="00731D61" w:rsidRDefault="00731D61"/>
    <w:p w:rsidR="00731D61" w:rsidRPr="00731D61" w:rsidRDefault="00731D61" w:rsidP="00731D61">
      <w:pPr>
        <w:pStyle w:val="NormalWeb"/>
        <w:numPr>
          <w:ilvl w:val="0"/>
          <w:numId w:val="1"/>
        </w:numPr>
        <w:shd w:val="clear" w:color="auto" w:fill="FFFFFF"/>
        <w:spacing w:before="0" w:beforeAutospacing="0" w:after="0" w:afterAutospacing="0"/>
        <w:rPr>
          <w:rFonts w:ascii="Arial" w:hAnsi="Arial" w:cs="Arial"/>
          <w:color w:val="111111"/>
        </w:rPr>
      </w:pPr>
      <w:r w:rsidRPr="00731D61">
        <w:rPr>
          <w:rFonts w:ascii="Arial" w:hAnsi="Arial" w:cs="Arial"/>
          <w:color w:val="111111"/>
          <w:bdr w:val="none" w:sz="0" w:space="0" w:color="auto" w:frame="1"/>
        </w:rPr>
        <w:t>"Justice Ginsburg </w:t>
      </w:r>
      <w:r w:rsidRPr="00731D61">
        <w:rPr>
          <w:rFonts w:ascii="inherit" w:hAnsi="inherit" w:cs="Arial"/>
          <w:color w:val="111111"/>
          <w:bdr w:val="none" w:sz="0" w:space="0" w:color="auto" w:frame="1"/>
        </w:rPr>
        <w:t>delivered the opinion of the Court with respect to Parts I, II, and III–A, concluding that, under Title II of the ADA, States are required to place persons with mental disabilities in community settings rather than in institutions when the State’s treatment professionals have determined that community placement is appropriate, the transfer from institutional care to a less restrictive setting is not opposed by the affected individual, and the placement can be reasonably accommodated, taking into account the resources available to the State and the needs of others with mental disabilities" (Olmstead v L.C., 1999).</w:t>
      </w:r>
      <w:r w:rsidRPr="00731D61">
        <w:rPr>
          <w:rFonts w:ascii="Arial" w:hAnsi="Arial" w:cs="Arial"/>
          <w:color w:val="111111"/>
          <w:bdr w:val="none" w:sz="0" w:space="0" w:color="auto" w:frame="1"/>
        </w:rPr>
        <w:br/>
      </w:r>
    </w:p>
    <w:p w:rsidR="00731D61" w:rsidRPr="00731D61" w:rsidRDefault="00731D61" w:rsidP="00731D61">
      <w:pPr>
        <w:pStyle w:val="NormalWeb"/>
        <w:shd w:val="clear" w:color="auto" w:fill="FFFFFF"/>
        <w:spacing w:before="0" w:beforeAutospacing="0" w:after="0" w:afterAutospacing="0"/>
        <w:rPr>
          <w:rFonts w:ascii="Arial" w:hAnsi="Arial" w:cs="Arial"/>
          <w:color w:val="111111"/>
        </w:rPr>
      </w:pPr>
      <w:r w:rsidRPr="00731D61">
        <w:rPr>
          <w:rFonts w:ascii="inherit" w:hAnsi="inherit" w:cs="Arial"/>
          <w:color w:val="111111"/>
          <w:bdr w:val="none" w:sz="0" w:space="0" w:color="auto" w:frame="1"/>
        </w:rPr>
        <w:t>The opinion of Justice Ginsburg upheld the ADA and made clear that people with disabilities could not be held in state facilities against their will if they wish to live in an integrated community, if they have been clearance by health professions, and if they have the resources to do so.</w:t>
      </w:r>
    </w:p>
    <w:p w:rsidR="00731D61" w:rsidRPr="00731D61" w:rsidRDefault="00731D61" w:rsidP="00731D61">
      <w:pPr>
        <w:pStyle w:val="NormalWeb"/>
        <w:shd w:val="clear" w:color="auto" w:fill="FFFFFF"/>
        <w:spacing w:before="0" w:beforeAutospacing="0" w:after="0" w:afterAutospacing="0"/>
        <w:rPr>
          <w:rFonts w:ascii="Arial" w:hAnsi="Arial" w:cs="Arial"/>
          <w:color w:val="111111"/>
        </w:rPr>
      </w:pPr>
      <w:r w:rsidRPr="00731D61">
        <w:rPr>
          <w:rFonts w:ascii="inherit" w:hAnsi="inherit" w:cs="Arial"/>
          <w:color w:val="111111"/>
          <w:bdr w:val="none" w:sz="0" w:space="0" w:color="auto" w:frame="1"/>
        </w:rPr>
        <w:t>While this decision served as the basis for thousands of individuals having the right to be integrated into communities, Sue Jamieson describes how the wordage used by Ginsburg gave the state some time to show that they were committed to doing the work, when in actuality, they weren't committed to providing the funds necessary to help people with disabilities find space in the community. This, unfortunately, led to further examinations into how people with disabilities were being mistreated in state run institutions and further court rulings.</w:t>
      </w:r>
    </w:p>
    <w:p w:rsidR="00731D61" w:rsidRPr="00731D61" w:rsidRDefault="00731D61" w:rsidP="00731D61">
      <w:pPr>
        <w:pStyle w:val="NormalWeb"/>
        <w:shd w:val="clear" w:color="auto" w:fill="FFFFFF"/>
        <w:spacing w:before="0" w:beforeAutospacing="0" w:after="0" w:afterAutospacing="0"/>
        <w:rPr>
          <w:rFonts w:ascii="Arial" w:hAnsi="Arial" w:cs="Arial"/>
          <w:color w:val="111111"/>
        </w:rPr>
      </w:pPr>
      <w:r w:rsidRPr="00731D61">
        <w:rPr>
          <w:rFonts w:ascii="inherit" w:hAnsi="inherit" w:cs="Arial"/>
          <w:color w:val="111111"/>
          <w:bdr w:val="none" w:sz="0" w:space="0" w:color="auto" w:frame="1"/>
        </w:rPr>
        <w:t>Though the state of Georgia and other states have been slow to apply the ruling of Olmstead v L.C., the case can be viewed as a basis for how decisions along these lines should be ruled upon moving forward.</w:t>
      </w:r>
    </w:p>
    <w:p w:rsidR="00731D61" w:rsidRPr="00731D61" w:rsidRDefault="00731D61" w:rsidP="00731D61">
      <w:pPr>
        <w:pStyle w:val="NormalWeb"/>
        <w:shd w:val="clear" w:color="auto" w:fill="FFFFFF"/>
        <w:spacing w:before="0" w:beforeAutospacing="0" w:after="0" w:afterAutospacing="0"/>
        <w:rPr>
          <w:rFonts w:ascii="Arial" w:hAnsi="Arial" w:cs="Arial"/>
          <w:color w:val="111111"/>
        </w:rPr>
      </w:pPr>
      <w:r w:rsidRPr="00731D61">
        <w:rPr>
          <w:rFonts w:ascii="inherit" w:hAnsi="inherit" w:cs="Arial"/>
          <w:color w:val="111111"/>
          <w:bdr w:val="none" w:sz="0" w:space="0" w:color="auto" w:frame="1"/>
        </w:rPr>
        <w:t>Olmstead v L.C., No. 98-536 U.S. (1999)</w:t>
      </w:r>
    </w:p>
    <w:p w:rsidR="00731D61" w:rsidRPr="00731D61" w:rsidRDefault="00731D61" w:rsidP="00731D61">
      <w:pPr>
        <w:pStyle w:val="NormalWeb"/>
        <w:shd w:val="clear" w:color="auto" w:fill="FFFFFF"/>
        <w:spacing w:before="0" w:beforeAutospacing="0" w:after="0" w:afterAutospacing="0"/>
        <w:rPr>
          <w:rFonts w:ascii="Arial" w:hAnsi="Arial" w:cs="Arial"/>
          <w:color w:val="111111"/>
        </w:rPr>
      </w:pPr>
      <w:proofErr w:type="spellStart"/>
      <w:r w:rsidRPr="00731D61">
        <w:rPr>
          <w:rFonts w:ascii="inherit" w:hAnsi="inherit" w:cs="Arial"/>
          <w:color w:val="111111"/>
          <w:bdr w:val="none" w:sz="0" w:space="0" w:color="auto" w:frame="1"/>
        </w:rPr>
        <w:t>OlmsteadRights</w:t>
      </w:r>
      <w:proofErr w:type="spellEnd"/>
      <w:r w:rsidRPr="00731D61">
        <w:rPr>
          <w:rFonts w:ascii="inherit" w:hAnsi="inherit" w:cs="Arial"/>
          <w:color w:val="111111"/>
          <w:bdr w:val="none" w:sz="0" w:space="0" w:color="auto" w:frame="1"/>
        </w:rPr>
        <w:t xml:space="preserve"> </w:t>
      </w:r>
      <w:proofErr w:type="spellStart"/>
      <w:r w:rsidRPr="00731D61">
        <w:rPr>
          <w:rFonts w:ascii="inherit" w:hAnsi="inherit" w:cs="Arial"/>
          <w:color w:val="111111"/>
          <w:bdr w:val="none" w:sz="0" w:space="0" w:color="auto" w:frame="1"/>
        </w:rPr>
        <w:t>Youtube</w:t>
      </w:r>
      <w:proofErr w:type="spellEnd"/>
      <w:r w:rsidRPr="00731D61">
        <w:rPr>
          <w:rFonts w:ascii="inherit" w:hAnsi="inherit" w:cs="Arial"/>
          <w:color w:val="111111"/>
          <w:bdr w:val="none" w:sz="0" w:space="0" w:color="auto" w:frame="1"/>
        </w:rPr>
        <w:t>. (2014, July 21). </w:t>
      </w:r>
      <w:r w:rsidRPr="00731D61">
        <w:rPr>
          <w:rStyle w:val="Emphasis"/>
          <w:rFonts w:ascii="inherit" w:hAnsi="inherit" w:cs="Arial"/>
          <w:color w:val="111111"/>
          <w:bdr w:val="none" w:sz="0" w:space="0" w:color="auto" w:frame="1"/>
        </w:rPr>
        <w:t>Olmstead: From the Case Toward Real Transformation.</w:t>
      </w:r>
      <w:r w:rsidRPr="00731D61">
        <w:rPr>
          <w:rFonts w:ascii="Arial" w:hAnsi="Arial" w:cs="Arial"/>
          <w:color w:val="111111"/>
        </w:rPr>
        <w:t> Retrieved from: https://www.youtube.com/watch?v=oezulXzBt2k&amp;t=28s</w:t>
      </w:r>
    </w:p>
    <w:p w:rsidR="00731D61" w:rsidRDefault="00731D61" w:rsidP="00731D61"/>
    <w:p w:rsidR="00731D61" w:rsidRDefault="00731D61" w:rsidP="00731D61"/>
    <w:p w:rsidR="00731D61" w:rsidRDefault="00731D61" w:rsidP="00731D61">
      <w:r>
        <w:t xml:space="preserve">Comment:  </w:t>
      </w:r>
    </w:p>
    <w:p w:rsidR="00A04350" w:rsidRPr="00A04350" w:rsidRDefault="00A04350" w:rsidP="00A04350">
      <w:pPr>
        <w:rPr>
          <w:rFonts w:ascii="Times New Roman" w:hAnsi="Times New Roman" w:cs="Times New Roman"/>
          <w:sz w:val="24"/>
          <w:szCs w:val="24"/>
        </w:rPr>
      </w:pPr>
      <w:r w:rsidRPr="00A04350">
        <w:rPr>
          <w:rStyle w:val="Emphasis"/>
          <w:rFonts w:ascii="Times New Roman" w:hAnsi="Times New Roman" w:cs="Times New Roman"/>
          <w:i w:val="0"/>
          <w:color w:val="111111"/>
          <w:sz w:val="24"/>
          <w:szCs w:val="24"/>
          <w:bdr w:val="none" w:sz="0" w:space="0" w:color="auto" w:frame="1"/>
        </w:rPr>
        <w:t xml:space="preserve">The judgment of Justice Ginsburg was one of the awaited judgments which cleared the mist on whether disabled people should be held in state facilities. I think this is the best judgment of all times since people with disabilities were given the go-ahead to integrate with the members of the community at whenever time they want on two conditions; if the disabled people have been cleared by medical practitioners and second, have the necessary resources to integrate with the community. On the other hand, to some extent, I differ with Sue Jamieson's interpretation of Ginsburg's opinion by claiming that the state did not fully mean what it said. Saying that the state should provide </w:t>
      </w:r>
      <w:r w:rsidR="00EC3788">
        <w:rPr>
          <w:rStyle w:val="Emphasis"/>
          <w:rFonts w:ascii="Times New Roman" w:hAnsi="Times New Roman" w:cs="Times New Roman"/>
          <w:i w:val="0"/>
          <w:color w:val="111111"/>
          <w:sz w:val="24"/>
          <w:szCs w:val="24"/>
          <w:bdr w:val="none" w:sz="0" w:space="0" w:color="auto" w:frame="1"/>
        </w:rPr>
        <w:t xml:space="preserve">sufficient </w:t>
      </w:r>
      <w:r w:rsidRPr="00A04350">
        <w:rPr>
          <w:rStyle w:val="Emphasis"/>
          <w:rFonts w:ascii="Times New Roman" w:hAnsi="Times New Roman" w:cs="Times New Roman"/>
          <w:i w:val="0"/>
          <w:color w:val="111111"/>
          <w:sz w:val="24"/>
          <w:szCs w:val="24"/>
          <w:bdr w:val="none" w:sz="0" w:space="0" w:color="auto" w:frame="1"/>
        </w:rPr>
        <w:t xml:space="preserve">resources to people with disabilities who want to mingle with the society but do not have the same is </w:t>
      </w:r>
      <w:bookmarkStart w:id="0" w:name="_GoBack"/>
      <w:bookmarkEnd w:id="0"/>
      <w:r w:rsidRPr="00A04350">
        <w:rPr>
          <w:rStyle w:val="Emphasis"/>
          <w:rFonts w:ascii="Times New Roman" w:hAnsi="Times New Roman" w:cs="Times New Roman"/>
          <w:i w:val="0"/>
          <w:color w:val="111111"/>
          <w:sz w:val="24"/>
          <w:szCs w:val="24"/>
          <w:bdr w:val="none" w:sz="0" w:space="0" w:color="auto" w:frame="1"/>
        </w:rPr>
        <w:t xml:space="preserve">somehow shallow-minded reasoning. This is because the state has a lot of issues to attend too and it's not that the disabled people have been chased away </w:t>
      </w:r>
      <w:r w:rsidRPr="00A04350">
        <w:rPr>
          <w:rStyle w:val="Emphasis"/>
          <w:rFonts w:ascii="Times New Roman" w:hAnsi="Times New Roman" w:cs="Times New Roman"/>
          <w:i w:val="0"/>
          <w:color w:val="111111"/>
          <w:sz w:val="24"/>
          <w:szCs w:val="24"/>
          <w:bdr w:val="none" w:sz="0" w:space="0" w:color="auto" w:frame="1"/>
        </w:rPr>
        <w:lastRenderedPageBreak/>
        <w:t xml:space="preserve">from the state facilities. Nevertheless, Sue Jamieson stirred an investigation on how people with disabilities were mistreated in the state-run institutions which is a positive effect of his argument. </w:t>
      </w:r>
    </w:p>
    <w:p w:rsidR="00731D61" w:rsidRPr="00A04350" w:rsidRDefault="00731D61"/>
    <w:sectPr w:rsidR="00731D61" w:rsidRPr="00A043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C2BEB"/>
    <w:multiLevelType w:val="hybridMultilevel"/>
    <w:tmpl w:val="A6DE4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D61"/>
    <w:rsid w:val="00731D61"/>
    <w:rsid w:val="00810D4B"/>
    <w:rsid w:val="00A04350"/>
    <w:rsid w:val="00EC3788"/>
    <w:rsid w:val="00FC5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1D6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1D61"/>
    <w:rPr>
      <w:i/>
      <w:iCs/>
    </w:rPr>
  </w:style>
  <w:style w:type="paragraph" w:styleId="ListParagraph">
    <w:name w:val="List Paragraph"/>
    <w:basedOn w:val="Normal"/>
    <w:uiPriority w:val="34"/>
    <w:qFormat/>
    <w:rsid w:val="00731D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1D6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1D61"/>
    <w:rPr>
      <w:i/>
      <w:iCs/>
    </w:rPr>
  </w:style>
  <w:style w:type="paragraph" w:styleId="ListParagraph">
    <w:name w:val="List Paragraph"/>
    <w:basedOn w:val="Normal"/>
    <w:uiPriority w:val="34"/>
    <w:qFormat/>
    <w:rsid w:val="0073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637407">
      <w:bodyDiv w:val="1"/>
      <w:marLeft w:val="0"/>
      <w:marRight w:val="0"/>
      <w:marTop w:val="0"/>
      <w:marBottom w:val="0"/>
      <w:divBdr>
        <w:top w:val="none" w:sz="0" w:space="0" w:color="auto"/>
        <w:left w:val="none" w:sz="0" w:space="0" w:color="auto"/>
        <w:bottom w:val="none" w:sz="0" w:space="0" w:color="auto"/>
        <w:right w:val="none" w:sz="0" w:space="0" w:color="auto"/>
      </w:divBdr>
    </w:div>
    <w:div w:id="937640048">
      <w:bodyDiv w:val="1"/>
      <w:marLeft w:val="0"/>
      <w:marRight w:val="0"/>
      <w:marTop w:val="0"/>
      <w:marBottom w:val="0"/>
      <w:divBdr>
        <w:top w:val="none" w:sz="0" w:space="0" w:color="auto"/>
        <w:left w:val="none" w:sz="0" w:space="0" w:color="auto"/>
        <w:bottom w:val="none" w:sz="0" w:space="0" w:color="auto"/>
        <w:right w:val="none" w:sz="0" w:space="0" w:color="auto"/>
      </w:divBdr>
    </w:div>
    <w:div w:id="212731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Hasan</dc:creator>
  <cp:lastModifiedBy>User</cp:lastModifiedBy>
  <cp:revision>2</cp:revision>
  <dcterms:created xsi:type="dcterms:W3CDTF">2019-10-09T16:45:00Z</dcterms:created>
  <dcterms:modified xsi:type="dcterms:W3CDTF">2019-10-09T16:45:00Z</dcterms:modified>
</cp:coreProperties>
</file>